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582CA96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4B18A6">
        <w:rPr>
          <w:rFonts w:ascii="Bookman Old Style" w:hAnsi="Bookman Old Style"/>
          <w:b/>
          <w:spacing w:val="60"/>
          <w:sz w:val="22"/>
          <w:szCs w:val="22"/>
        </w:rPr>
        <w:t>5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DC1890D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AE39CF">
        <w:rPr>
          <w:rFonts w:ascii="Bookman Old Style" w:hAnsi="Bookman Old Style"/>
          <w:sz w:val="22"/>
          <w:szCs w:val="22"/>
        </w:rPr>
        <w:t>5</w:t>
      </w:r>
      <w:r w:rsidR="004B18A6">
        <w:rPr>
          <w:rFonts w:ascii="Bookman Old Style" w:hAnsi="Bookman Old Style"/>
          <w:sz w:val="22"/>
          <w:szCs w:val="22"/>
        </w:rPr>
        <w:t>1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57B0BCC8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4B18A6">
        <w:rPr>
          <w:rFonts w:ascii="Bookman Old Style" w:hAnsi="Bookman Old Style"/>
          <w:b/>
          <w:sz w:val="22"/>
          <w:szCs w:val="22"/>
        </w:rPr>
        <w:t>ACRESCE §3° NO ART. 4° DA LEI N° 3.708, DE 10 DE JUNHO DE 2025, QUE AUTORIZA O PODER EXECUTIVO A FAZER DOAÇÃO DE LOTES URBANOS DE PROPRIEDADE DO MUNICÍPIO E ESTABELECE FORMAS DE PARTICIPAÇÃO DOS BENEFICIÁRIOS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74E6" w14:textId="77777777" w:rsidR="0017026C" w:rsidRDefault="0017026C" w:rsidP="00D230A8">
      <w:r>
        <w:separator/>
      </w:r>
    </w:p>
  </w:endnote>
  <w:endnote w:type="continuationSeparator" w:id="0">
    <w:p w14:paraId="7D815475" w14:textId="77777777" w:rsidR="0017026C" w:rsidRDefault="0017026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F947" w14:textId="77777777" w:rsidR="0017026C" w:rsidRDefault="0017026C" w:rsidP="00D230A8">
      <w:r>
        <w:separator/>
      </w:r>
    </w:p>
  </w:footnote>
  <w:footnote w:type="continuationSeparator" w:id="0">
    <w:p w14:paraId="6B8DCCBD" w14:textId="77777777" w:rsidR="0017026C" w:rsidRDefault="0017026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9</cp:revision>
  <cp:lastPrinted>2025-06-23T18:45:00Z</cp:lastPrinted>
  <dcterms:created xsi:type="dcterms:W3CDTF">2025-07-14T17:44:00Z</dcterms:created>
  <dcterms:modified xsi:type="dcterms:W3CDTF">2025-09-04T18:52:00Z</dcterms:modified>
</cp:coreProperties>
</file>